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Skarga nadzwyczajna - czym jest, kto, po co i kiedy może ją złożyć?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wiesz, czym jest &lt;strong&gt;skarga nadzwyczajna&lt;/strong&gt;? Bez obaw. Z naszego wpisu dowiesz się wielu istotnych rzeczy, w tym tego, kto i kiedy może ją złożyć. Zapraszamy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Skarga nadzwyczajna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Prawo nie jest proste do zrozumienia, zwłaszcza, gdy nie ma się w tym temacie doświadczenia. W takim wypadku warto zgłosić się do osób, które wiedzą, co i jak należy zrobić, by sprawa przebiegła po Twojej myśli. Jeżeli chcesz się trochę zagłębić i dowiedzieć, czym jest </w:t>
      </w:r>
      <w:r>
        <w:rPr>
          <w:rFonts w:ascii="calibri" w:hAnsi="calibri" w:eastAsia="calibri" w:cs="calibri"/>
          <w:sz w:val="24"/>
          <w:szCs w:val="24"/>
          <w:b/>
        </w:rPr>
        <w:t xml:space="preserve">skarga nadzwyczajna </w:t>
      </w:r>
      <w:r>
        <w:rPr>
          <w:rFonts w:ascii="calibri" w:hAnsi="calibri" w:eastAsia="calibri" w:cs="calibri"/>
          <w:sz w:val="24"/>
          <w:szCs w:val="24"/>
        </w:rPr>
        <w:t xml:space="preserve">oraz kto i kiedy może ją złożyć, to poniżej znajdziesz odpowiedź na wszelkie nurtujące Cię pytania.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skarga nadzwyczajna?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Zdarza się, że orzeczenie wydane podczas procesu narusza zasady praw człowieka i obywatela, które jasno zostały określone w Konstytucji. W takim wypadku konieczna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skarga nadzwyczajna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którą można złożyć nie później niż 5 lat od uprawomocnienia orzeczenia. Ponadto może być ona złożona zaledwie raz.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3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Kto i kiedy może ją złożyć?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Skarga nadzwyczajna</w:t>
      </w:r>
      <w:r>
        <w:rPr>
          <w:rFonts w:ascii="calibri" w:hAnsi="calibri" w:eastAsia="calibri" w:cs="calibri"/>
          <w:sz w:val="24"/>
          <w:szCs w:val="24"/>
        </w:rPr>
        <w:t xml:space="preserve"> może być złożona tylko przez kilka osób m.in Prokuratora Generalnego, Rzecznika Praw Obywatelskich, Rzecznika Praw Dziecka, Rzecznika Praw Człowieka, a także inne jednostki. Pełna lista dostępna jest we wpisie na naszym blogu, który dotyczy tego tematu. Skarga nie może zostać złożona w przypadku unieważnienia małżeństwa lub rozwodu, w momencie, gdy jedna ze stron zawarła kolejny związek małżeński.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Mamy nadzieję, że nasz krótki wpis przybliżył Ci ten temat z zakresu prawa. Jeżeli chcesz sięgnąć po więcej informacji lub dowiedzieć się innych rzeczy, serdecznie zapraszamy na naszego bloga. Odwiedź nas już dziś!</w:t>
      </w:r>
    </w:p>
    <w:p>
      <w:pPr>
        <w:spacing w:before="0" w:after="600" w:line="240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ncelaria-galazka.pl/blog/skarga-nadzwyczajn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2026-02-04T12:29:11+01:00</dcterms:created>
  <dcterms:modified xsi:type="dcterms:W3CDTF">2026-02-04T12:29:11+01:00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